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46E" w14:textId="77777777" w:rsidR="004D72E0" w:rsidRPr="00EB6561" w:rsidRDefault="004D72E0" w:rsidP="00BB5C68">
      <w:pPr>
        <w:rPr>
          <w:b/>
          <w:u w:val="single"/>
        </w:rPr>
      </w:pPr>
      <w:r w:rsidRPr="00EB6561">
        <w:rPr>
          <w:b/>
          <w:u w:val="single"/>
        </w:rPr>
        <w:t>Background</w:t>
      </w:r>
    </w:p>
    <w:p w14:paraId="0E72446F" w14:textId="77777777" w:rsidR="004D72E0" w:rsidRDefault="004D72E0" w:rsidP="00BB5C68"/>
    <w:p w14:paraId="0E724470" w14:textId="77777777" w:rsidR="00BB5C68" w:rsidRDefault="00BB5C68" w:rsidP="00BB5C68">
      <w:r w:rsidRPr="00BB5C68">
        <w:t>As a result of House Bill 2305 passed during the 83</w:t>
      </w:r>
      <w:r w:rsidRPr="00BB5C68">
        <w:rPr>
          <w:vertAlign w:val="superscript"/>
        </w:rPr>
        <w:t>rd</w:t>
      </w:r>
      <w:r w:rsidRPr="00BB5C68">
        <w:t xml:space="preserve"> legislative session, the State of Texas will stop issuing inspection stickers and transition to a “Two Steps, One Sticker” vehicle inspection and registration program beginning March 1, 2015.  </w:t>
      </w:r>
    </w:p>
    <w:p w14:paraId="0E724471" w14:textId="77777777" w:rsidR="00BB5C68" w:rsidRPr="00BB5C68" w:rsidRDefault="00BB5C68" w:rsidP="00BB5C68"/>
    <w:p w14:paraId="0E724472" w14:textId="77777777" w:rsidR="00BB5C68" w:rsidRDefault="00BB5C68" w:rsidP="00BB5C68">
      <w:r w:rsidRPr="00BB5C68">
        <w:t>Standard exempt license plates are issued to vehicles owned by government entities.  Texas A&amp;M Forest Service vehicles have the word “EXEMPT” printed on the plate.  As a result of “Two Steps, One Sticker”, these vehicles will now receive a registration sticker as proof of inspection.</w:t>
      </w:r>
    </w:p>
    <w:p w14:paraId="0E724473" w14:textId="77777777" w:rsidR="00BB5C68" w:rsidRDefault="00BB5C68" w:rsidP="00BB5C68"/>
    <w:p w14:paraId="0E724474" w14:textId="77777777" w:rsidR="004D72E0" w:rsidRPr="00EB6561" w:rsidRDefault="004D72E0" w:rsidP="00BB5C68">
      <w:pPr>
        <w:rPr>
          <w:b/>
          <w:u w:val="single"/>
        </w:rPr>
      </w:pPr>
      <w:r w:rsidRPr="00EB6561">
        <w:rPr>
          <w:b/>
          <w:u w:val="single"/>
        </w:rPr>
        <w:t>Annual Vehicle Inspection</w:t>
      </w:r>
    </w:p>
    <w:p w14:paraId="0E724475" w14:textId="77777777" w:rsidR="004D72E0" w:rsidRPr="00BB5C68" w:rsidRDefault="004D72E0" w:rsidP="00BB5C68"/>
    <w:p w14:paraId="0E724476" w14:textId="77777777" w:rsidR="00BB5C68" w:rsidRDefault="00BB5C68" w:rsidP="00BB5C68">
      <w:r w:rsidRPr="00BB5C68">
        <w:t>There are two steps to follow under “Two Steps, One Sticker”:</w:t>
      </w:r>
    </w:p>
    <w:p w14:paraId="0E724477" w14:textId="77777777" w:rsidR="00BB5C68" w:rsidRPr="00BB5C68" w:rsidRDefault="00BB5C68" w:rsidP="00BB5C68"/>
    <w:p w14:paraId="0E724478" w14:textId="77777777" w:rsidR="00264071" w:rsidRDefault="00BB5C68" w:rsidP="00EB6561">
      <w:pPr>
        <w:numPr>
          <w:ilvl w:val="0"/>
          <w:numId w:val="17"/>
        </w:numPr>
      </w:pPr>
      <w:r w:rsidRPr="00BB5C68">
        <w:t xml:space="preserve">Complete a vehicle inspection </w:t>
      </w:r>
      <w:r w:rsidR="004B35BE">
        <w:t xml:space="preserve">at a state inspection station </w:t>
      </w:r>
      <w:r w:rsidRPr="00BB5C68">
        <w:t xml:space="preserve">and pay </w:t>
      </w:r>
      <w:r w:rsidR="004B35BE">
        <w:t xml:space="preserve">the station </w:t>
      </w:r>
      <w:r w:rsidR="000773FA">
        <w:t xml:space="preserve">portion </w:t>
      </w:r>
      <w:r w:rsidR="00C12D19">
        <w:t xml:space="preserve">of the applicable </w:t>
      </w:r>
      <w:r w:rsidR="006579A9">
        <w:t xml:space="preserve">inspection </w:t>
      </w:r>
      <w:r w:rsidR="004B35BE">
        <w:t>fee</w:t>
      </w:r>
      <w:r w:rsidR="00C12D19">
        <w:t>(s)</w:t>
      </w:r>
      <w:r w:rsidR="004B35BE">
        <w:t xml:space="preserve"> (see </w:t>
      </w:r>
      <w:r w:rsidR="006579A9">
        <w:t>chart</w:t>
      </w:r>
      <w:r w:rsidR="004B35BE">
        <w:t xml:space="preserve"> on page 2)</w:t>
      </w:r>
      <w:r w:rsidRPr="00BB5C68">
        <w:t xml:space="preserve">.  The station will provide a hard copy receipt and enter the vehicle </w:t>
      </w:r>
      <w:r w:rsidR="006A02B0">
        <w:t xml:space="preserve">inspection </w:t>
      </w:r>
      <w:r w:rsidRPr="00BB5C68">
        <w:t xml:space="preserve">data into the state’s database.  A copy of the receipt will need to remain in the vehicle.  </w:t>
      </w:r>
    </w:p>
    <w:p w14:paraId="0E724479" w14:textId="77777777" w:rsidR="00BB5C68" w:rsidRPr="00BB5C68" w:rsidRDefault="00BB5C68" w:rsidP="00EB6561">
      <w:pPr>
        <w:ind w:left="720"/>
      </w:pPr>
    </w:p>
    <w:p w14:paraId="0E72447A" w14:textId="77777777" w:rsidR="00BB5C68" w:rsidRPr="00BB5C68" w:rsidRDefault="00BB5C68" w:rsidP="00BB5C68">
      <w:pPr>
        <w:numPr>
          <w:ilvl w:val="0"/>
          <w:numId w:val="17"/>
        </w:numPr>
      </w:pPr>
      <w:r w:rsidRPr="00BB5C68">
        <w:t xml:space="preserve">Pay the applicable </w:t>
      </w:r>
      <w:r w:rsidR="006579A9">
        <w:t xml:space="preserve">state </w:t>
      </w:r>
      <w:r w:rsidR="000773FA">
        <w:t>portion</w:t>
      </w:r>
      <w:r w:rsidR="00C12D19">
        <w:t xml:space="preserve"> of the applicable </w:t>
      </w:r>
      <w:r w:rsidRPr="00BB5C68">
        <w:t>inspection fee</w:t>
      </w:r>
      <w:r w:rsidR="00C12D19">
        <w:t>(</w:t>
      </w:r>
      <w:r w:rsidRPr="00BB5C68">
        <w:t>s</w:t>
      </w:r>
      <w:r w:rsidR="00C12D19">
        <w:t>)</w:t>
      </w:r>
      <w:r w:rsidRPr="00BB5C68">
        <w:t xml:space="preserve"> (see chart </w:t>
      </w:r>
      <w:r w:rsidR="006579A9">
        <w:t>on page 2</w:t>
      </w:r>
      <w:r w:rsidRPr="00BB5C68">
        <w:t xml:space="preserve">) in person </w:t>
      </w:r>
      <w:r w:rsidR="006A02B0">
        <w:t>a</w:t>
      </w:r>
      <w:r w:rsidRPr="00BB5C68">
        <w:t xml:space="preserve">t </w:t>
      </w:r>
      <w:r w:rsidR="006A02B0">
        <w:t>any</w:t>
      </w:r>
      <w:r w:rsidRPr="00BB5C68">
        <w:t xml:space="preserve"> county tax office.</w:t>
      </w:r>
      <w:r w:rsidR="00264071">
        <w:t xml:space="preserve">  </w:t>
      </w:r>
      <w:r w:rsidR="00264071" w:rsidRPr="00EB6561">
        <w:rPr>
          <w:i/>
        </w:rPr>
        <w:t>[The only exception to this is the unmarked LE vehicles must be registered in Angelina County.]</w:t>
      </w:r>
      <w:r w:rsidRPr="00BB5C68">
        <w:t xml:space="preserve">  A registration sticker will be issued once the inspection fee is paid and the </w:t>
      </w:r>
      <w:r w:rsidR="006A02B0">
        <w:t>vehicle</w:t>
      </w:r>
      <w:r w:rsidRPr="00BB5C68">
        <w:t xml:space="preserve"> inspection status has been verified.  </w:t>
      </w:r>
    </w:p>
    <w:p w14:paraId="0E72447B" w14:textId="77777777" w:rsidR="00BB5C68" w:rsidRDefault="00BB5C68" w:rsidP="00BB5C68"/>
    <w:p w14:paraId="0E72447C" w14:textId="77777777" w:rsidR="006A02B0" w:rsidRDefault="006A02B0" w:rsidP="00BB5C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44D9" wp14:editId="0E7244DA">
                <wp:simplePos x="0" y="0"/>
                <wp:positionH relativeFrom="column">
                  <wp:posOffset>491490</wp:posOffset>
                </wp:positionH>
                <wp:positionV relativeFrom="paragraph">
                  <wp:posOffset>68580</wp:posOffset>
                </wp:positionV>
                <wp:extent cx="51911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44E7" w14:textId="77777777" w:rsidR="006A02B0" w:rsidRDefault="006A02B0">
                            <w:r>
                              <w:t xml:space="preserve">Note:  The </w:t>
                            </w:r>
                            <w:r w:rsidR="000773FA">
                              <w:t>two steps</w:t>
                            </w:r>
                            <w:r>
                              <w:t xml:space="preserve"> don’t have to be completed in the same county; however, if the county where you attempt to pay the state </w:t>
                            </w:r>
                            <w:r w:rsidR="000773FA">
                              <w:t xml:space="preserve">portion </w:t>
                            </w:r>
                            <w:r w:rsidR="00C12D19">
                              <w:t xml:space="preserve">of the applicable </w:t>
                            </w:r>
                            <w:r>
                              <w:t>inspection fee</w:t>
                            </w:r>
                            <w:r w:rsidR="00C12D19">
                              <w:t>(</w:t>
                            </w:r>
                            <w:r>
                              <w:t>s</w:t>
                            </w:r>
                            <w:r w:rsidR="00C12D19">
                              <w:t>)</w:t>
                            </w:r>
                            <w:r>
                              <w:t xml:space="preserve"> requires an emissions inspection, they will not issue a registration sticker until this requirement is met.</w:t>
                            </w:r>
                            <w:r w:rsidR="005A63B9">
                              <w:t xml:space="preserve">  </w:t>
                            </w:r>
                            <w:r w:rsidR="005A63B9" w:rsidRPr="00EB6561">
                              <w:rPr>
                                <w:b/>
                              </w:rPr>
                              <w:t>We recommend that you complete both steps in the same county to help avoid potential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24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7pt;margin-top:5.4pt;width:4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" fillcolor="#f2f2f2 [3052]">
                <v:textbox style="mso-fit-shape-to-text:t">
                  <w:txbxContent>
                    <w:p w14:paraId="0E7244E7" w14:textId="77777777" w:rsidR="006A02B0" w:rsidRDefault="006A02B0">
                      <w:r>
                        <w:t xml:space="preserve">Note:  The </w:t>
                      </w:r>
                      <w:r w:rsidR="000773FA">
                        <w:t>two steps</w:t>
                      </w:r>
                      <w:r>
                        <w:t xml:space="preserve"> don’t have to be completed in the same county; however, if the county where you attempt to pay the state </w:t>
                      </w:r>
                      <w:r w:rsidR="000773FA">
                        <w:t xml:space="preserve">portion </w:t>
                      </w:r>
                      <w:r w:rsidR="00C12D19">
                        <w:t xml:space="preserve">of the applicable </w:t>
                      </w:r>
                      <w:r>
                        <w:t>inspection fee</w:t>
                      </w:r>
                      <w:r w:rsidR="00C12D19">
                        <w:t>(</w:t>
                      </w:r>
                      <w:r>
                        <w:t>s</w:t>
                      </w:r>
                      <w:r w:rsidR="00C12D19">
                        <w:t>)</w:t>
                      </w:r>
                      <w:r>
                        <w:t xml:space="preserve"> requires an emissions inspection, they will not issue a registration sticker until this requirement is met.</w:t>
                      </w:r>
                      <w:r w:rsidR="005A63B9">
                        <w:t xml:space="preserve">  </w:t>
                      </w:r>
                      <w:r w:rsidR="005A63B9" w:rsidRPr="00EB6561">
                        <w:rPr>
                          <w:b/>
                        </w:rPr>
                        <w:t>We recommend that you complete both steps in the same county to help avoid potential problems.</w:t>
                      </w:r>
                    </w:p>
                  </w:txbxContent>
                </v:textbox>
              </v:shape>
            </w:pict>
          </mc:Fallback>
        </mc:AlternateContent>
      </w:r>
    </w:p>
    <w:p w14:paraId="0E72447D" w14:textId="77777777" w:rsidR="006A02B0" w:rsidRDefault="006A02B0" w:rsidP="00BB5C68"/>
    <w:p w14:paraId="0E72447E" w14:textId="77777777" w:rsidR="006A02B0" w:rsidRDefault="006A02B0" w:rsidP="00BB5C68"/>
    <w:p w14:paraId="0E72447F" w14:textId="77777777" w:rsidR="006A02B0" w:rsidRDefault="006A02B0" w:rsidP="00BB5C68"/>
    <w:p w14:paraId="0E724480" w14:textId="77777777" w:rsidR="006A02B0" w:rsidRPr="00BB5C68" w:rsidRDefault="006A02B0" w:rsidP="00BB5C68"/>
    <w:p w14:paraId="0E724481" w14:textId="77777777" w:rsidR="006A02B0" w:rsidRDefault="006A02B0" w:rsidP="00BB5C68"/>
    <w:p w14:paraId="0E724482" w14:textId="77777777" w:rsidR="005A63B9" w:rsidRDefault="005A63B9" w:rsidP="00BB5C68"/>
    <w:p w14:paraId="0E724483" w14:textId="5B6F63DA" w:rsidR="00BB5C68" w:rsidRDefault="006A02B0" w:rsidP="00BB5C68">
      <w:r>
        <w:t xml:space="preserve">Make sure to complete both steps prior to the end of the month of vehicle inspection expiration.  </w:t>
      </w:r>
      <w:r w:rsidR="00BB5C68" w:rsidRPr="00BB5C68">
        <w:t>Inspection fees</w:t>
      </w:r>
      <w:r w:rsidR="000773FA">
        <w:t>, both station and state portion,</w:t>
      </w:r>
      <w:r w:rsidR="00BB5C68" w:rsidRPr="00BB5C68">
        <w:t xml:space="preserve"> </w:t>
      </w:r>
      <w:r w:rsidR="006579A9">
        <w:t>should</w:t>
      </w:r>
      <w:r w:rsidR="00BB5C68" w:rsidRPr="00BB5C68">
        <w:t xml:space="preserve"> be charged to a</w:t>
      </w:r>
      <w:r w:rsidR="00351CA3">
        <w:t>n agency</w:t>
      </w:r>
      <w:r w:rsidR="00BB5C68" w:rsidRPr="00BB5C68">
        <w:t xml:space="preserve"> procurement card</w:t>
      </w:r>
      <w:r w:rsidR="006579A9">
        <w:t>.  The alternative payment option is to</w:t>
      </w:r>
      <w:r w:rsidR="00BB5C68" w:rsidRPr="00BB5C68">
        <w:t xml:space="preserve"> </w:t>
      </w:r>
      <w:r w:rsidR="006579A9">
        <w:t>pay with</w:t>
      </w:r>
      <w:r w:rsidR="00BB5C68" w:rsidRPr="00BB5C68">
        <w:t xml:space="preserve"> personal</w:t>
      </w:r>
      <w:r w:rsidR="006579A9">
        <w:t xml:space="preserve"> funds</w:t>
      </w:r>
      <w:r w:rsidR="00BB5C68" w:rsidRPr="00BB5C68">
        <w:t xml:space="preserve"> and </w:t>
      </w:r>
      <w:r w:rsidR="006579A9">
        <w:t>submit</w:t>
      </w:r>
      <w:r w:rsidR="00BB5C68" w:rsidRPr="00BB5C68">
        <w:t xml:space="preserve"> </w:t>
      </w:r>
      <w:r w:rsidR="006579A9">
        <w:t xml:space="preserve">a </w:t>
      </w:r>
      <w:r w:rsidR="00BB5C68" w:rsidRPr="00BB5C68">
        <w:t>reimburse</w:t>
      </w:r>
      <w:r w:rsidR="006579A9">
        <w:t>ment request</w:t>
      </w:r>
      <w:r w:rsidR="00BB5C68" w:rsidRPr="00BB5C68">
        <w:t xml:space="preserve">.  Additional fees may be required at the county tax office if payment is made by credit card.  </w:t>
      </w:r>
      <w:r w:rsidR="00627546">
        <w:t xml:space="preserve"> </w:t>
      </w:r>
      <w:r w:rsidR="005279A5">
        <w:t xml:space="preserve">If </w:t>
      </w:r>
      <w:r w:rsidR="00627546">
        <w:t xml:space="preserve">the vehicle receives new license plates, email a copy of the registration renewal receipt to the </w:t>
      </w:r>
      <w:r w:rsidR="00440AA0">
        <w:t xml:space="preserve">Financial Accountant responsible for </w:t>
      </w:r>
      <w:r w:rsidR="00627546">
        <w:t>Property and</w:t>
      </w:r>
      <w:r w:rsidR="00440AA0">
        <w:t xml:space="preserve"> Financial Accountant responsible for compliance reporting, both in the Payroll and Support Services Department</w:t>
      </w:r>
      <w:r w:rsidR="00627546">
        <w:t xml:space="preserve"> for changes to be made </w:t>
      </w:r>
      <w:r w:rsidR="002A140A">
        <w:t>to equipment</w:t>
      </w:r>
      <w:r w:rsidR="00627546">
        <w:t xml:space="preserve"> inventory, </w:t>
      </w:r>
      <w:r w:rsidR="002A140A">
        <w:t xml:space="preserve">vehicle </w:t>
      </w:r>
      <w:r w:rsidR="00627546">
        <w:t>fleet and fuel card</w:t>
      </w:r>
      <w:r w:rsidR="002A140A">
        <w:t xml:space="preserve"> records</w:t>
      </w:r>
      <w:r w:rsidR="00627546">
        <w:t xml:space="preserve">. </w:t>
      </w:r>
    </w:p>
    <w:p w14:paraId="0E724484" w14:textId="77777777" w:rsidR="00627546" w:rsidRDefault="00627546" w:rsidP="00BB5C68"/>
    <w:p w14:paraId="0E724485" w14:textId="77777777" w:rsidR="00627546" w:rsidRDefault="00627546">
      <w:r>
        <w:br w:type="page"/>
      </w:r>
    </w:p>
    <w:p w14:paraId="0E724486" w14:textId="77777777" w:rsidR="004D72E0" w:rsidRPr="00EB6561" w:rsidRDefault="004D72E0">
      <w:pPr>
        <w:rPr>
          <w:b/>
          <w:u w:val="single"/>
        </w:rPr>
      </w:pPr>
      <w:r w:rsidRPr="00EB6561">
        <w:rPr>
          <w:b/>
          <w:u w:val="single"/>
        </w:rPr>
        <w:lastRenderedPageBreak/>
        <w:t>Reporting</w:t>
      </w:r>
    </w:p>
    <w:p w14:paraId="0E724487" w14:textId="77777777" w:rsidR="004D72E0" w:rsidRDefault="004D72E0"/>
    <w:p w14:paraId="0E724488" w14:textId="77777777" w:rsidR="00264071" w:rsidRDefault="004D72E0">
      <w:r w:rsidRPr="00BB5C68">
        <w:t>The inspection fees need to be recorded on the vehicle mileage log within the month each fee is paid</w:t>
      </w:r>
      <w:r>
        <w:t xml:space="preserve"> and included in the monthly vehicle fleet reports</w:t>
      </w:r>
      <w:r w:rsidRPr="00BB5C68">
        <w:t>.</w:t>
      </w:r>
    </w:p>
    <w:p w14:paraId="0E724489" w14:textId="77777777" w:rsidR="00BB5C68" w:rsidRDefault="00BB5C6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3159"/>
        <w:gridCol w:w="1501"/>
        <w:gridCol w:w="1216"/>
        <w:gridCol w:w="1585"/>
      </w:tblGrid>
      <w:tr w:rsidR="00BB5C68" w:rsidRPr="00BB5C68" w14:paraId="0E72448F" w14:textId="77777777" w:rsidTr="005D489A">
        <w:trPr>
          <w:tblHeader/>
          <w:tblCellSpacing w:w="15" w:type="dxa"/>
        </w:trPr>
        <w:tc>
          <w:tcPr>
            <w:tcW w:w="972" w:type="pct"/>
            <w:shd w:val="clear" w:color="auto" w:fill="1F2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8A" w14:textId="77777777" w:rsidR="00BB5C68" w:rsidRPr="00BB5C68" w:rsidRDefault="00BB5C68" w:rsidP="00BB5C68">
            <w:pPr>
              <w:rPr>
                <w:b/>
                <w:bCs/>
                <w:sz w:val="22"/>
                <w:szCs w:val="22"/>
              </w:rPr>
            </w:pPr>
            <w:r w:rsidRPr="00BB5C68">
              <w:rPr>
                <w:b/>
                <w:bCs/>
                <w:sz w:val="22"/>
                <w:szCs w:val="22"/>
              </w:rPr>
              <w:lastRenderedPageBreak/>
              <w:t>Inspection Type</w:t>
            </w:r>
          </w:p>
        </w:tc>
        <w:tc>
          <w:tcPr>
            <w:tcW w:w="1677" w:type="pct"/>
            <w:shd w:val="clear" w:color="auto" w:fill="1F2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8B" w14:textId="77777777" w:rsidR="00BB5C68" w:rsidRPr="00BB5C68" w:rsidRDefault="00BB5C68" w:rsidP="00BB5C68">
            <w:pPr>
              <w:rPr>
                <w:b/>
                <w:bCs/>
                <w:sz w:val="22"/>
                <w:szCs w:val="22"/>
              </w:rPr>
            </w:pPr>
            <w:r w:rsidRPr="00BB5C68">
              <w:rPr>
                <w:b/>
                <w:bCs/>
                <w:sz w:val="22"/>
                <w:szCs w:val="22"/>
              </w:rPr>
              <w:t>Counties</w:t>
            </w:r>
          </w:p>
        </w:tc>
        <w:tc>
          <w:tcPr>
            <w:tcW w:w="791" w:type="pct"/>
            <w:shd w:val="clear" w:color="auto" w:fill="1F2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8C" w14:textId="77777777" w:rsidR="00BB5C68" w:rsidRPr="00BB5C68" w:rsidRDefault="00BB5C68" w:rsidP="00BB5C68">
            <w:pPr>
              <w:rPr>
                <w:b/>
                <w:bCs/>
                <w:sz w:val="22"/>
                <w:szCs w:val="22"/>
              </w:rPr>
            </w:pPr>
            <w:r w:rsidRPr="00BB5C68">
              <w:rPr>
                <w:b/>
                <w:bCs/>
                <w:sz w:val="22"/>
                <w:szCs w:val="22"/>
              </w:rPr>
              <w:t>State Portion</w:t>
            </w:r>
          </w:p>
        </w:tc>
        <w:tc>
          <w:tcPr>
            <w:tcW w:w="0" w:type="auto"/>
            <w:shd w:val="clear" w:color="auto" w:fill="1F2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8D" w14:textId="77777777" w:rsidR="00BB5C68" w:rsidRPr="00BB5C68" w:rsidRDefault="00BB5C68" w:rsidP="00BB5C68">
            <w:pPr>
              <w:rPr>
                <w:b/>
                <w:bCs/>
                <w:sz w:val="22"/>
                <w:szCs w:val="22"/>
              </w:rPr>
            </w:pPr>
            <w:r w:rsidRPr="00BB5C68">
              <w:rPr>
                <w:b/>
                <w:bCs/>
                <w:sz w:val="22"/>
                <w:szCs w:val="22"/>
              </w:rPr>
              <w:t>Station Portion</w:t>
            </w:r>
          </w:p>
        </w:tc>
        <w:tc>
          <w:tcPr>
            <w:tcW w:w="0" w:type="auto"/>
            <w:shd w:val="clear" w:color="auto" w:fill="1F285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8E" w14:textId="77777777" w:rsidR="00BB5C68" w:rsidRPr="00BB5C68" w:rsidRDefault="00BB5C68" w:rsidP="00BB5C68">
            <w:pPr>
              <w:rPr>
                <w:b/>
                <w:bCs/>
                <w:sz w:val="22"/>
                <w:szCs w:val="22"/>
              </w:rPr>
            </w:pPr>
            <w:r w:rsidRPr="00BB5C68">
              <w:rPr>
                <w:b/>
                <w:bCs/>
                <w:sz w:val="22"/>
                <w:szCs w:val="22"/>
              </w:rPr>
              <w:t>Total Inspection Fee</w:t>
            </w:r>
          </w:p>
        </w:tc>
      </w:tr>
      <w:tr w:rsidR="00BB5C68" w:rsidRPr="00BB5C68" w14:paraId="0E724495" w14:textId="77777777" w:rsidTr="005D489A">
        <w:trPr>
          <w:trHeight w:val="687"/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0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One-Year Safety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1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Counties except the emission counties listed below and vehicles 25 years and older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2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$7.50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3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$7.00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4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$14.50</w:t>
            </w:r>
          </w:p>
        </w:tc>
      </w:tr>
      <w:tr w:rsidR="00BB5C68" w:rsidRPr="00BB5C68" w14:paraId="0E72449B" w14:textId="77777777" w:rsidTr="005D489A">
        <w:trPr>
          <w:trHeight w:val="588"/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6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Safety-only (vehicles 25 years or older)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7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Statewide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8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$7.50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9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$7.00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A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$14.50</w:t>
            </w:r>
          </w:p>
        </w:tc>
      </w:tr>
      <w:tr w:rsidR="00BB5C68" w:rsidRPr="00BB5C68" w14:paraId="0E7244A1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C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Two-Year Safety (new vehicles)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D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Statewide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E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$16.75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9F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$7.00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0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$23.75</w:t>
            </w:r>
          </w:p>
        </w:tc>
      </w:tr>
      <w:tr w:rsidR="00BB5C68" w:rsidRPr="00BB5C68" w14:paraId="0E7244A7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2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Commercial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3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Statewide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4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$22.00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5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$40.00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6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$62.00</w:t>
            </w:r>
          </w:p>
        </w:tc>
      </w:tr>
      <w:tr w:rsidR="00BB5C68" w:rsidRPr="00BB5C68" w14:paraId="0E7244AD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8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Trailer/Motorcycle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9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Statewide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A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$7.50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B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$7.00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C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$14.50</w:t>
            </w:r>
          </w:p>
        </w:tc>
      </w:tr>
      <w:tr w:rsidR="00BB5C68" w:rsidRPr="00BB5C68" w14:paraId="0E7244B3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E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Safety Emissions (TSI/OBD)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AF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El Paso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0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$8.25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1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$18.50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2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$26.75</w:t>
            </w:r>
          </w:p>
        </w:tc>
      </w:tr>
      <w:tr w:rsidR="00BB5C68" w:rsidRPr="00BB5C68" w14:paraId="0E7244B9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4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Safety Emissions (TSI/OBD)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5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Travis, Williamson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6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$10.25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7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$18.50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8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$28.75</w:t>
            </w:r>
          </w:p>
        </w:tc>
      </w:tr>
      <w:tr w:rsidR="00BB5C68" w:rsidRPr="00BB5C68" w14:paraId="0E7244BF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A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Emission (ASM) for vehicles model-year 1995 and older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B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C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$8.25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D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$31.50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BE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$39.75</w:t>
            </w:r>
          </w:p>
        </w:tc>
      </w:tr>
      <w:tr w:rsidR="00BB5C68" w:rsidRPr="00BB5C68" w14:paraId="0E7244C5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0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Emission (OBD) for vehicles model-year 1996 and newer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1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2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$14.25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3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$25.50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4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$39.75</w:t>
            </w:r>
          </w:p>
        </w:tc>
      </w:tr>
      <w:tr w:rsidR="00BB5C68" w:rsidRPr="00BB5C68" w14:paraId="0E7244CB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6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Emission-Test Only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7" w14:textId="192A3F72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El Paso</w:t>
            </w:r>
            <w:r w:rsidR="00440AA0">
              <w:rPr>
                <w:sz w:val="22"/>
                <w:szCs w:val="22"/>
              </w:rPr>
              <w:t xml:space="preserve">, </w:t>
            </w:r>
            <w:r w:rsidR="00440AA0" w:rsidRPr="00BB5C68">
              <w:rPr>
                <w:sz w:val="22"/>
                <w:szCs w:val="22"/>
              </w:rPr>
              <w:t xml:space="preserve">Travis, </w:t>
            </w:r>
            <w:r w:rsidR="00440AA0">
              <w:rPr>
                <w:sz w:val="22"/>
                <w:szCs w:val="22"/>
              </w:rPr>
              <w:t xml:space="preserve">and </w:t>
            </w:r>
            <w:r w:rsidR="00440AA0" w:rsidRPr="00BB5C68">
              <w:rPr>
                <w:sz w:val="22"/>
                <w:szCs w:val="22"/>
              </w:rPr>
              <w:t>Williamson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8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$2.75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9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$11.50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CA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$14.25</w:t>
            </w:r>
          </w:p>
        </w:tc>
      </w:tr>
      <w:tr w:rsidR="00BB5C68" w:rsidRPr="00BB5C68" w14:paraId="0E7244D1" w14:textId="77777777" w:rsidTr="003A0E95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4CC" w14:textId="5B5682ED" w:rsidR="00BB5C68" w:rsidRPr="00BB5C68" w:rsidRDefault="00BB5C68" w:rsidP="00BB5C68">
            <w:pPr>
              <w:rPr>
                <w:sz w:val="22"/>
                <w:szCs w:val="22"/>
              </w:rPr>
            </w:pP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4CD" w14:textId="20E9AB0C" w:rsidR="00BB5C68" w:rsidRPr="00BB5C68" w:rsidRDefault="00BB5C68" w:rsidP="00BB5C68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4CE" w14:textId="3F53A2E2" w:rsidR="00BB5C68" w:rsidRPr="00BB5C68" w:rsidRDefault="00BB5C68" w:rsidP="00BB5C68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4CF" w14:textId="069C826F" w:rsidR="00BB5C68" w:rsidRPr="00BB5C68" w:rsidRDefault="00BB5C68" w:rsidP="00BB5C68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44D0" w14:textId="3D4496FE" w:rsidR="00BB5C68" w:rsidRPr="00BB5C68" w:rsidRDefault="00BB5C68" w:rsidP="00BB5C68">
            <w:pPr>
              <w:rPr>
                <w:sz w:val="22"/>
                <w:szCs w:val="22"/>
              </w:rPr>
            </w:pPr>
          </w:p>
        </w:tc>
      </w:tr>
      <w:tr w:rsidR="00BB5C68" w:rsidRPr="00BB5C68" w14:paraId="0E7244D7" w14:textId="77777777" w:rsidTr="005D489A">
        <w:trPr>
          <w:tblCellSpacing w:w="15" w:type="dxa"/>
        </w:trPr>
        <w:tc>
          <w:tcPr>
            <w:tcW w:w="972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D2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Emission-Test Only</w:t>
            </w:r>
          </w:p>
        </w:tc>
        <w:tc>
          <w:tcPr>
            <w:tcW w:w="167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D3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791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D4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$2.75</w:t>
            </w:r>
          </w:p>
        </w:tc>
        <w:tc>
          <w:tcPr>
            <w:tcW w:w="639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D5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$24.50</w:t>
            </w:r>
          </w:p>
        </w:tc>
        <w:tc>
          <w:tcPr>
            <w:tcW w:w="827" w:type="pct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44D6" w14:textId="77777777" w:rsidR="00BB5C68" w:rsidRPr="00BB5C68" w:rsidRDefault="00BB5C68" w:rsidP="00BB5C68">
            <w:pPr>
              <w:rPr>
                <w:sz w:val="22"/>
                <w:szCs w:val="22"/>
              </w:rPr>
            </w:pPr>
            <w:r w:rsidRPr="00BB5C68">
              <w:rPr>
                <w:sz w:val="22"/>
                <w:szCs w:val="22"/>
              </w:rPr>
              <w:t>$27.25</w:t>
            </w:r>
          </w:p>
        </w:tc>
      </w:tr>
    </w:tbl>
    <w:p w14:paraId="0E7244D8" w14:textId="77777777" w:rsidR="00CD0F95" w:rsidRPr="00BB5C68" w:rsidRDefault="00CD0F95" w:rsidP="00BB5C68"/>
    <w:sectPr w:rsidR="00CD0F95" w:rsidRPr="00BB5C68" w:rsidSect="00C0454D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44DD" w14:textId="77777777" w:rsidR="009A5BC3" w:rsidRDefault="009A5BC3" w:rsidP="001E3283">
      <w:r>
        <w:separator/>
      </w:r>
    </w:p>
  </w:endnote>
  <w:endnote w:type="continuationSeparator" w:id="0">
    <w:p w14:paraId="0E7244DE" w14:textId="77777777" w:rsidR="009A5BC3" w:rsidRDefault="009A5BC3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44E3" w14:textId="601EB8E2" w:rsidR="008A5667" w:rsidRPr="00B46CA2" w:rsidRDefault="00627546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Revised </w:t>
    </w:r>
    <w:r w:rsidR="00A03256">
      <w:rPr>
        <w:rFonts w:ascii="Cambria" w:hAnsi="Cambria"/>
        <w:i/>
        <w:sz w:val="18"/>
        <w:szCs w:val="18"/>
      </w:rPr>
      <w:t>11/1</w:t>
    </w:r>
    <w:r w:rsidR="003A0E95">
      <w:rPr>
        <w:rFonts w:ascii="Cambria" w:hAnsi="Cambria"/>
        <w:i/>
        <w:sz w:val="18"/>
        <w:szCs w:val="18"/>
      </w:rPr>
      <w:t>5</w:t>
    </w:r>
    <w:r w:rsidR="00A03256">
      <w:rPr>
        <w:rFonts w:ascii="Cambria" w:hAnsi="Cambria"/>
        <w:i/>
        <w:sz w:val="18"/>
        <w:szCs w:val="18"/>
      </w:rPr>
      <w:t>/2021</w:t>
    </w:r>
    <w:r w:rsidR="008A5667">
      <w:rPr>
        <w:rFonts w:asciiTheme="majorHAnsi" w:hAnsiTheme="majorHAnsi"/>
      </w:rPr>
      <w:ptab w:relativeTo="margin" w:alignment="right" w:leader="none"/>
    </w:r>
    <w:r w:rsidR="008A5667" w:rsidRPr="00B46CA2">
      <w:rPr>
        <w:rFonts w:ascii="Cambria" w:hAnsi="Cambria"/>
        <w:i/>
        <w:sz w:val="18"/>
        <w:szCs w:val="18"/>
      </w:rPr>
      <w:t xml:space="preserve">Page </w:t>
    </w:r>
    <w:r w:rsidR="008A5667" w:rsidRPr="00B46CA2">
      <w:rPr>
        <w:rFonts w:ascii="Cambria" w:hAnsi="Cambria"/>
        <w:i/>
        <w:sz w:val="18"/>
        <w:szCs w:val="18"/>
      </w:rPr>
      <w:fldChar w:fldCharType="begin"/>
    </w:r>
    <w:r w:rsidR="008A5667" w:rsidRPr="00B46CA2">
      <w:rPr>
        <w:rFonts w:ascii="Cambria" w:hAnsi="Cambria"/>
        <w:i/>
        <w:sz w:val="18"/>
        <w:szCs w:val="18"/>
      </w:rPr>
      <w:instrText xml:space="preserve"> PAGE   \* MERGEFORMAT </w:instrText>
    </w:r>
    <w:r w:rsidR="008A5667" w:rsidRPr="00B46CA2">
      <w:rPr>
        <w:rFonts w:ascii="Cambria" w:hAnsi="Cambria"/>
        <w:i/>
        <w:sz w:val="18"/>
        <w:szCs w:val="18"/>
      </w:rPr>
      <w:fldChar w:fldCharType="separate"/>
    </w:r>
    <w:r w:rsidR="00772F2E">
      <w:rPr>
        <w:rFonts w:ascii="Cambria" w:hAnsi="Cambria"/>
        <w:i/>
        <w:noProof/>
        <w:sz w:val="18"/>
        <w:szCs w:val="18"/>
      </w:rPr>
      <w:t>1</w:t>
    </w:r>
    <w:r w:rsidR="008A5667" w:rsidRPr="00B46CA2">
      <w:rPr>
        <w:rFonts w:ascii="Cambria" w:hAnsi="Cambria"/>
        <w:i/>
        <w:sz w:val="18"/>
        <w:szCs w:val="18"/>
      </w:rPr>
      <w:fldChar w:fldCharType="end"/>
    </w:r>
  </w:p>
  <w:p w14:paraId="0E7244E4" w14:textId="77777777" w:rsidR="008A5667" w:rsidRDefault="008A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44DB" w14:textId="77777777" w:rsidR="009A5BC3" w:rsidRDefault="009A5BC3" w:rsidP="001E3283">
      <w:r>
        <w:separator/>
      </w:r>
    </w:p>
  </w:footnote>
  <w:footnote w:type="continuationSeparator" w:id="0">
    <w:p w14:paraId="0E7244DC" w14:textId="77777777" w:rsidR="009A5BC3" w:rsidRDefault="009A5BC3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44DF" w14:textId="77777777" w:rsidR="008A5667" w:rsidRDefault="00B2514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0E7244E5" wp14:editId="0E7244E6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244E0" w14:textId="77777777" w:rsidR="008A5667" w:rsidRPr="000C34EA" w:rsidRDefault="008A566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0E7244E1" w14:textId="77777777" w:rsidR="008A5667" w:rsidRPr="000C34EA" w:rsidRDefault="00BB5C68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>Vehicle Inspection</w:t>
    </w:r>
    <w:r w:rsidR="006A02B0">
      <w:rPr>
        <w:rFonts w:ascii="Cambria" w:eastAsiaTheme="majorEastAsia" w:hAnsi="Cambria" w:cstheme="majorBidi"/>
        <w:i/>
        <w:sz w:val="32"/>
        <w:szCs w:val="32"/>
      </w:rPr>
      <w:t>s</w:t>
    </w:r>
  </w:p>
  <w:p w14:paraId="0E7244E2" w14:textId="77777777" w:rsidR="008A5667" w:rsidRDefault="008A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97B"/>
    <w:multiLevelType w:val="hybridMultilevel"/>
    <w:tmpl w:val="040A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D4C26"/>
    <w:multiLevelType w:val="hybridMultilevel"/>
    <w:tmpl w:val="F6E41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15790"/>
    <w:multiLevelType w:val="hybridMultilevel"/>
    <w:tmpl w:val="FE9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WTovriVAvA/HCzEYWCseTxAcyaa2nKpcHLFOiip0GkQwF5NKU+9z4DeaHCgaSR50dggMtMSGxVqZLvIn0Em8Q==" w:salt="qaAHrpklAWjPVY/xzYf7x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70914"/>
    <w:rsid w:val="000773FA"/>
    <w:rsid w:val="0009243E"/>
    <w:rsid w:val="000A261A"/>
    <w:rsid w:val="000C1452"/>
    <w:rsid w:val="000C34EA"/>
    <w:rsid w:val="00100670"/>
    <w:rsid w:val="00151E80"/>
    <w:rsid w:val="001E3283"/>
    <w:rsid w:val="0025796B"/>
    <w:rsid w:val="00264071"/>
    <w:rsid w:val="002756C8"/>
    <w:rsid w:val="0029083C"/>
    <w:rsid w:val="002A140A"/>
    <w:rsid w:val="002C7A5F"/>
    <w:rsid w:val="002E1315"/>
    <w:rsid w:val="00315402"/>
    <w:rsid w:val="00340A80"/>
    <w:rsid w:val="00351CA3"/>
    <w:rsid w:val="00383F50"/>
    <w:rsid w:val="003A0E95"/>
    <w:rsid w:val="003F2F7C"/>
    <w:rsid w:val="00423461"/>
    <w:rsid w:val="00425441"/>
    <w:rsid w:val="00433129"/>
    <w:rsid w:val="00440AA0"/>
    <w:rsid w:val="004774E5"/>
    <w:rsid w:val="0048620F"/>
    <w:rsid w:val="004B35BE"/>
    <w:rsid w:val="004D72E0"/>
    <w:rsid w:val="004E03FA"/>
    <w:rsid w:val="00500F3E"/>
    <w:rsid w:val="00504492"/>
    <w:rsid w:val="005279A5"/>
    <w:rsid w:val="0054234C"/>
    <w:rsid w:val="00571569"/>
    <w:rsid w:val="005A63B9"/>
    <w:rsid w:val="005B3784"/>
    <w:rsid w:val="005C2C86"/>
    <w:rsid w:val="00627546"/>
    <w:rsid w:val="0063555C"/>
    <w:rsid w:val="006544BA"/>
    <w:rsid w:val="006579A9"/>
    <w:rsid w:val="006A02B0"/>
    <w:rsid w:val="006B656E"/>
    <w:rsid w:val="007277FD"/>
    <w:rsid w:val="007409EB"/>
    <w:rsid w:val="00753E7E"/>
    <w:rsid w:val="00764B49"/>
    <w:rsid w:val="00772F2E"/>
    <w:rsid w:val="007741EF"/>
    <w:rsid w:val="00782DCD"/>
    <w:rsid w:val="007943BA"/>
    <w:rsid w:val="007B426F"/>
    <w:rsid w:val="0081106D"/>
    <w:rsid w:val="00815937"/>
    <w:rsid w:val="008370F1"/>
    <w:rsid w:val="008849E5"/>
    <w:rsid w:val="008A4687"/>
    <w:rsid w:val="008A5667"/>
    <w:rsid w:val="008C3F2A"/>
    <w:rsid w:val="008D3F1E"/>
    <w:rsid w:val="0091012E"/>
    <w:rsid w:val="009639CB"/>
    <w:rsid w:val="00964FA4"/>
    <w:rsid w:val="0097519F"/>
    <w:rsid w:val="009A5BC3"/>
    <w:rsid w:val="00A03256"/>
    <w:rsid w:val="00A136FF"/>
    <w:rsid w:val="00A2641E"/>
    <w:rsid w:val="00A356A6"/>
    <w:rsid w:val="00A359A7"/>
    <w:rsid w:val="00A37793"/>
    <w:rsid w:val="00A42059"/>
    <w:rsid w:val="00A80929"/>
    <w:rsid w:val="00A90EE8"/>
    <w:rsid w:val="00AB5828"/>
    <w:rsid w:val="00AE7702"/>
    <w:rsid w:val="00B126B7"/>
    <w:rsid w:val="00B20F58"/>
    <w:rsid w:val="00B25147"/>
    <w:rsid w:val="00B44357"/>
    <w:rsid w:val="00B46CA2"/>
    <w:rsid w:val="00B54E0E"/>
    <w:rsid w:val="00BB5C68"/>
    <w:rsid w:val="00C01FB9"/>
    <w:rsid w:val="00C0454D"/>
    <w:rsid w:val="00C12D19"/>
    <w:rsid w:val="00C1464E"/>
    <w:rsid w:val="00C33075"/>
    <w:rsid w:val="00C577DF"/>
    <w:rsid w:val="00C57C27"/>
    <w:rsid w:val="00CA6E7A"/>
    <w:rsid w:val="00CB7FED"/>
    <w:rsid w:val="00CC56F9"/>
    <w:rsid w:val="00CD0F95"/>
    <w:rsid w:val="00D01726"/>
    <w:rsid w:val="00D13AF5"/>
    <w:rsid w:val="00D14EB1"/>
    <w:rsid w:val="00DC260C"/>
    <w:rsid w:val="00DE1C65"/>
    <w:rsid w:val="00DF549C"/>
    <w:rsid w:val="00E105F1"/>
    <w:rsid w:val="00E5402F"/>
    <w:rsid w:val="00E617D6"/>
    <w:rsid w:val="00E74729"/>
    <w:rsid w:val="00E92571"/>
    <w:rsid w:val="00EA51C4"/>
    <w:rsid w:val="00EB6561"/>
    <w:rsid w:val="00F92DFD"/>
    <w:rsid w:val="00FC14E6"/>
    <w:rsid w:val="00FC4474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724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A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74"/>
    <w:pPr>
      <w:ind w:left="720"/>
      <w:contextualSpacing/>
    </w:pPr>
  </w:style>
  <w:style w:type="character" w:styleId="CommentReference">
    <w:name w:val="annotation reference"/>
    <w:basedOn w:val="DefaultParagraphFont"/>
    <w:rsid w:val="004B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5BE"/>
  </w:style>
  <w:style w:type="paragraph" w:styleId="CommentSubject">
    <w:name w:val="annotation subject"/>
    <w:basedOn w:val="CommentText"/>
    <w:next w:val="CommentText"/>
    <w:link w:val="CommentSubjectChar"/>
    <w:rsid w:val="004B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5BE"/>
    <w:rPr>
      <w:b/>
      <w:bCs/>
    </w:rPr>
  </w:style>
  <w:style w:type="paragraph" w:styleId="Revision">
    <w:name w:val="Revision"/>
    <w:hidden/>
    <w:uiPriority w:val="99"/>
    <w:semiHidden/>
    <w:rsid w:val="00EA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UEKHZ4HHEJXQ-292801454-159079</_dlc_DocId>
    <_dlc_DocIdUrl xmlns="6819ce1a-c6ed-457e-aaaa-d09a469b0545">
      <Url>https://texasforestservice.sharepoint.com/sites/Share-AssociateDirectorsOffice-FIAD/_layouts/15/DocIdRedir.aspx?ID=UEKHZ4HHEJXQ-292801454-159079</Url>
      <Description>UEKHZ4HHEJXQ-292801454-159079</Description>
    </_dlc_DocIdUrl>
  </documentManagement>
</p:properties>
</file>

<file path=customXml/itemProps1.xml><?xml version="1.0" encoding="utf-8"?>
<ds:datastoreItem xmlns:ds="http://schemas.openxmlformats.org/officeDocument/2006/customXml" ds:itemID="{5DFBA994-86B9-4594-A22B-A846966FB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558B-8C0C-42AA-BF70-E2633C803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726551-4B10-4A78-868F-FB9E16E2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27A37-10C5-4BA7-AA5E-D51373D3FC5A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6819ce1a-c6ed-457e-aaaa-d09a469b054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96f3cc7-3874-4d01-bd76-f2f69c5613b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2911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2021-11-15T15:29:00Z</dcterms:created>
  <dcterms:modified xsi:type="dcterms:W3CDTF">2021-11-15T16:54:00Z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708800</vt:r8>
  </property>
  <property fmtid="{D5CDD505-2E9C-101B-9397-08002B2CF9AE}" pid="4" name="_dlc_DocIdItemGuid">
    <vt:lpwstr>84ac757c-fc8e-4ca2-b77d-9d4dced3c48e</vt:lpwstr>
  </property>
</Properties>
</file>